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CC614">
      <w:pPr>
        <w:bidi w:val="0"/>
        <w:jc w:val="center"/>
        <w:outlineLvl w:val="0"/>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第四章 采购需求</w:t>
      </w:r>
    </w:p>
    <w:p w14:paraId="60867BBC">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一、相关说明</w:t>
      </w:r>
    </w:p>
    <w:p w14:paraId="6520F433">
      <w:pPr>
        <w:widowControl/>
        <w:numPr>
          <w:ilvl w:val="2"/>
          <w:numId w:val="1"/>
        </w:numPr>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本次采购内容如果要求的某些技术标准低于国家标准，均以最新的国家标准为准。招标技术要求中未明确的技术标准也均不得低于国家标准；</w:t>
      </w:r>
    </w:p>
    <w:p w14:paraId="033CD289">
      <w:pPr>
        <w:widowControl/>
        <w:numPr>
          <w:ilvl w:val="2"/>
          <w:numId w:val="1"/>
        </w:numPr>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本采购项目为交钥匙项目，验收合格前所需的一切费用均包含在报价之中，采购人不承担成交价格以外的任何费用。</w:t>
      </w:r>
    </w:p>
    <w:p w14:paraId="22E62E66">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二、商务要求：</w:t>
      </w:r>
    </w:p>
    <w:p w14:paraId="2B1435D8">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合同履行期限：</w:t>
      </w:r>
      <w:r>
        <w:rPr>
          <w:rFonts w:hint="eastAsia" w:ascii="宋体" w:hAnsi="宋体" w:eastAsia="宋体" w:cs="宋体"/>
          <w:color w:val="auto"/>
          <w:sz w:val="21"/>
          <w:szCs w:val="21"/>
          <w:highlight w:val="none"/>
          <w:lang w:val="en-US" w:eastAsia="zh-CN"/>
        </w:rPr>
        <w:t>签订合同后接到采购人通知210日历天内供货并施入完毕。</w:t>
      </w:r>
    </w:p>
    <w:p w14:paraId="56E739BF">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rPr>
        <w:t>供货</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val="en-US" w:eastAsia="zh-CN"/>
        </w:rPr>
        <w:t>武陟县区域内。</w:t>
      </w:r>
    </w:p>
    <w:p w14:paraId="3D80CFF9">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 w:val="21"/>
          <w:szCs w:val="21"/>
          <w:highlight w:val="none"/>
        </w:rPr>
        <w:t>质量标准：</w:t>
      </w:r>
      <w:r>
        <w:rPr>
          <w:rFonts w:hint="eastAsia" w:ascii="宋体" w:hAnsi="宋体" w:eastAsia="宋体" w:cs="宋体"/>
          <w:color w:val="auto"/>
          <w:sz w:val="21"/>
          <w:szCs w:val="21"/>
          <w:highlight w:val="none"/>
          <w:lang w:val="en-US" w:eastAsia="zh-CN"/>
        </w:rPr>
        <w:t>合格，符合国家和行业相关规范、标准及采购人实际需求。</w:t>
      </w:r>
    </w:p>
    <w:p w14:paraId="2CA60391">
      <w:pPr>
        <w:numPr>
          <w:ilvl w:val="2"/>
          <w:numId w:val="0"/>
        </w:numPr>
        <w:spacing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sz w:val="21"/>
          <w:szCs w:val="21"/>
          <w:highlight w:val="none"/>
        </w:rPr>
        <w:t>质量保证期：</w:t>
      </w:r>
      <w:r>
        <w:rPr>
          <w:rFonts w:hint="eastAsia" w:ascii="宋体" w:hAnsi="宋体" w:eastAsia="宋体" w:cs="宋体"/>
          <w:color w:val="auto"/>
          <w:sz w:val="21"/>
          <w:szCs w:val="21"/>
          <w:highlight w:val="none"/>
          <w:lang w:val="en-US" w:eastAsia="zh-CN"/>
        </w:rPr>
        <w:t xml:space="preserve"> 自货物交付后投入使用起半年内，产品在质保期内如发现质量问题，供货方 </w:t>
      </w:r>
    </w:p>
    <w:p w14:paraId="67BBEEDB">
      <w:pPr>
        <w:numPr>
          <w:ilvl w:val="2"/>
          <w:numId w:val="0"/>
        </w:num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收到需方函、电后应在 24 小时内及时派人到现场处理，一切责任损失由供货方承担。</w:t>
      </w:r>
    </w:p>
    <w:p w14:paraId="61A5FDFD">
      <w:pPr>
        <w:numPr>
          <w:ilvl w:val="2"/>
          <w:numId w:val="0"/>
        </w:numPr>
        <w:spacing w:line="360" w:lineRule="auto"/>
        <w:ind w:left="0" w:leftChars="0"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sz w:val="21"/>
          <w:szCs w:val="21"/>
          <w:highlight w:val="none"/>
          <w:lang w:val="en-US" w:eastAsia="zh-CN"/>
        </w:rPr>
        <w:t>服务要求：供肥手续（供肥清册）齐全完备，供应商接到采购人通知 210 日内供货完毕，并于</w:t>
      </w:r>
      <w:r>
        <w:rPr>
          <w:rFonts w:hint="eastAsia" w:ascii="宋体" w:hAnsi="宋体" w:eastAsia="宋体" w:cs="宋体"/>
          <w:color w:val="auto"/>
          <w:kern w:val="2"/>
          <w:sz w:val="21"/>
          <w:szCs w:val="21"/>
          <w:highlight w:val="none"/>
          <w:lang w:val="en-US" w:eastAsia="zh-CN" w:bidi="ar-SA"/>
        </w:rPr>
        <w:t>小麦</w:t>
      </w:r>
      <w:r>
        <w:rPr>
          <w:rFonts w:hint="eastAsia" w:ascii="宋体" w:hAnsi="宋体" w:eastAsia="宋体" w:cs="宋体"/>
          <w:color w:val="auto"/>
          <w:sz w:val="21"/>
          <w:szCs w:val="21"/>
          <w:highlight w:val="none"/>
          <w:lang w:val="en-US" w:eastAsia="zh-CN"/>
        </w:rPr>
        <w:t>播种期整地时施入农田中。</w:t>
      </w:r>
    </w:p>
    <w:p w14:paraId="37A52E76">
      <w:pPr>
        <w:numPr>
          <w:ilvl w:val="2"/>
          <w:numId w:val="0"/>
        </w:numPr>
        <w:spacing w:line="360" w:lineRule="auto"/>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6.付款方式：供货方每次交货完毕并施入农田中之后，经采购方验收合格后付至本次实施合同价款的95%，余5%待小麦收获后若无质量问题时一次性付清。</w:t>
      </w:r>
    </w:p>
    <w:p w14:paraId="53377AAA">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三、其他要求：</w:t>
      </w:r>
    </w:p>
    <w:p w14:paraId="5B467150">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1.规格：吨包包装，产品包装应符合国家要求。</w:t>
      </w:r>
    </w:p>
    <w:p w14:paraId="29E375A9">
      <w:pPr>
        <w:pStyle w:val="2"/>
        <w:keepNext w:val="0"/>
        <w:keepLines w:val="0"/>
        <w:pageBreakBefore w:val="0"/>
        <w:kinsoku/>
        <w:wordWrap/>
        <w:overflowPunct/>
        <w:topLinePunct w:val="0"/>
        <w:autoSpaceDE/>
        <w:autoSpaceDN/>
        <w:bidi w:val="0"/>
        <w:snapToGrid/>
        <w:spacing w:line="360" w:lineRule="auto"/>
        <w:ind w:firstLine="420" w:firstLineChars="200"/>
        <w:textAlignment w:val="auto"/>
        <w:rPr>
          <w:rFonts w:hint="default"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2.抽样检测要求：按照中华人民共和国农业农村部发布的中华人民共和国农业行业标准 NY/T525—2021执行，采购人将按有关规定对供货商所供各批次产品进行抽样，样品送至有资质 的检验机构检验，检测费用由供应商承担；如产品抽样检测不合格，则扣除全部合同款不予结算，如造成农民经济损失的将按照有关法律法规处理，三年内不得参与我县同类产品招投标.</w:t>
      </w:r>
    </w:p>
    <w:p w14:paraId="4F815705">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四、采购内容及技术要求</w:t>
      </w:r>
    </w:p>
    <w:p w14:paraId="67232E26">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1.本项目的核心产品为：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有机肥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（核心产品仅适用于本项目同一品牌的认定，同一品牌的认定详见投标人须知）</w:t>
      </w:r>
    </w:p>
    <w:p w14:paraId="516CC55E">
      <w:pPr>
        <w:pStyle w:val="2"/>
        <w:jc w:val="center"/>
        <w:rPr>
          <w:rFonts w:hint="eastAsia" w:ascii="宋体" w:hAnsi="宋体" w:eastAsia="宋体" w:cs="宋体"/>
          <w:color w:val="auto"/>
          <w:sz w:val="21"/>
          <w:szCs w:val="21"/>
          <w:highlight w:val="none"/>
          <w:lang w:eastAsia="zh-CN"/>
        </w:rPr>
      </w:pPr>
    </w:p>
    <w:p w14:paraId="38462A4B">
      <w:pPr>
        <w:pStyle w:val="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技术参数要求</w:t>
      </w:r>
    </w:p>
    <w:p w14:paraId="3219DA06">
      <w:pPr>
        <w:pStyle w:val="2"/>
        <w:jc w:val="center"/>
        <w:rPr>
          <w:rFonts w:hint="eastAsia" w:ascii="宋体" w:hAnsi="宋体" w:eastAsia="宋体" w:cs="宋体"/>
          <w:color w:val="auto"/>
          <w:sz w:val="21"/>
          <w:szCs w:val="21"/>
          <w:highlight w:val="none"/>
          <w:lang w:eastAsia="zh-CN"/>
        </w:rPr>
      </w:pPr>
    </w:p>
    <w:tbl>
      <w:tblPr>
        <w:tblStyle w:val="4"/>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268"/>
        <w:gridCol w:w="5091"/>
        <w:gridCol w:w="1768"/>
      </w:tblGrid>
      <w:tr w14:paraId="7A86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3D6D498E">
            <w:pPr>
              <w:widowControl/>
              <w:spacing w:line="4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15E7A97D">
            <w:pPr>
              <w:widowControl/>
              <w:spacing w:line="40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标的</w:t>
            </w:r>
            <w:r>
              <w:rPr>
                <w:rFonts w:hint="eastAsia" w:ascii="宋体" w:hAnsi="宋体" w:eastAsia="宋体" w:cs="宋体"/>
                <w:b/>
                <w:color w:val="auto"/>
                <w:kern w:val="0"/>
                <w:sz w:val="21"/>
                <w:szCs w:val="21"/>
                <w:highlight w:val="none"/>
              </w:rPr>
              <w:t>名称</w:t>
            </w:r>
          </w:p>
        </w:tc>
        <w:tc>
          <w:tcPr>
            <w:tcW w:w="5091" w:type="dxa"/>
            <w:tcBorders>
              <w:top w:val="single" w:color="auto" w:sz="4" w:space="0"/>
              <w:left w:val="single" w:color="auto" w:sz="4" w:space="0"/>
              <w:bottom w:val="single" w:color="auto" w:sz="4" w:space="0"/>
              <w:right w:val="single" w:color="auto" w:sz="4" w:space="0"/>
            </w:tcBorders>
            <w:noWrap w:val="0"/>
            <w:vAlign w:val="center"/>
          </w:tcPr>
          <w:p w14:paraId="0938C36C">
            <w:pPr>
              <w:widowControl/>
              <w:spacing w:line="4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主要技术参数、性能、配置等要求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42AF4D50">
            <w:pPr>
              <w:widowControl/>
              <w:spacing w:line="400" w:lineRule="exact"/>
              <w:jc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数量/单位</w:t>
            </w:r>
          </w:p>
        </w:tc>
      </w:tr>
      <w:tr w14:paraId="0106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30EA1A74">
            <w:pPr>
              <w:widowControl/>
              <w:spacing w:line="400" w:lineRule="exac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56CA77DF">
            <w:pPr>
              <w:ind w:left="0" w:leftChars="0" w:firstLine="0" w:firstLineChars="0"/>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有机肥</w:t>
            </w:r>
          </w:p>
        </w:tc>
        <w:tc>
          <w:tcPr>
            <w:tcW w:w="5091" w:type="dxa"/>
            <w:tcBorders>
              <w:top w:val="single" w:color="auto" w:sz="4" w:space="0"/>
              <w:left w:val="single" w:color="auto" w:sz="4" w:space="0"/>
              <w:bottom w:val="single" w:color="auto" w:sz="4" w:space="0"/>
              <w:right w:val="single" w:color="auto" w:sz="4" w:space="0"/>
            </w:tcBorders>
            <w:noWrap w:val="0"/>
            <w:vAlign w:val="center"/>
          </w:tcPr>
          <w:p w14:paraId="794F631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有机质的质量分数（以烘干基计）≥30%，总养分（N+P2O5+K2O）的质量分数（以烘干基计）≥4%，水分（鲜样）的质量分数≤30%，酸碱度5.5～8.5，种子发芽指数≥70%，机械杂质的质量分数应≤0.5，</w:t>
            </w:r>
            <w:r>
              <w:rPr>
                <w:rFonts w:hint="eastAsia" w:ascii="宋体" w:hAnsi="宋体" w:eastAsia="宋体" w:cs="宋体"/>
                <w:i w:val="0"/>
                <w:iCs w:val="0"/>
                <w:color w:val="auto"/>
                <w:kern w:val="0"/>
                <w:sz w:val="22"/>
                <w:szCs w:val="22"/>
                <w:highlight w:val="none"/>
                <w:u w:val="none"/>
                <w:lang w:val="en-US" w:eastAsia="zh-CN" w:bidi="ar"/>
              </w:rPr>
              <w:t>总砷（As）≤15mg/kg，总汞（Hg）≤2mg/kg，总铅（Pb）≤50mg/kg，总镉（Cd）≤3mg/kg，总铬（Cr）≤150mg/kg，粪大肠菌群数 ≤100个/g，蛔虫卵死亡率≥95%，</w:t>
            </w:r>
            <w:r>
              <w:rPr>
                <w:rFonts w:hint="eastAsia" w:ascii="宋体" w:hAnsi="宋体" w:eastAsia="宋体" w:cs="宋体"/>
                <w:color w:val="auto"/>
                <w:kern w:val="0"/>
                <w:sz w:val="21"/>
                <w:szCs w:val="21"/>
                <w:highlight w:val="none"/>
                <w:lang w:eastAsia="zh-CN" w:bidi="ar"/>
              </w:rPr>
              <w:t>外观</w:t>
            </w:r>
            <w:r>
              <w:rPr>
                <w:rFonts w:hint="eastAsia" w:ascii="宋体" w:hAnsi="宋体" w:cs="宋体"/>
                <w:color w:val="auto"/>
                <w:kern w:val="0"/>
                <w:sz w:val="21"/>
                <w:szCs w:val="21"/>
                <w:highlight w:val="none"/>
                <w:lang w:val="en-US" w:eastAsia="zh-CN" w:bidi="ar"/>
              </w:rPr>
              <w:t>均匀、</w:t>
            </w:r>
            <w:r>
              <w:rPr>
                <w:rFonts w:hint="eastAsia" w:ascii="宋体" w:hAnsi="宋体" w:eastAsia="宋体" w:cs="宋体"/>
                <w:color w:val="auto"/>
                <w:kern w:val="0"/>
                <w:sz w:val="21"/>
                <w:szCs w:val="21"/>
                <w:highlight w:val="none"/>
                <w:lang w:eastAsia="zh-CN" w:bidi="ar"/>
              </w:rPr>
              <w:t>为颗粒状、</w:t>
            </w:r>
            <w:r>
              <w:rPr>
                <w:rFonts w:hint="eastAsia" w:ascii="宋体" w:hAnsi="宋体" w:cs="宋体"/>
                <w:color w:val="auto"/>
                <w:kern w:val="0"/>
                <w:sz w:val="21"/>
                <w:szCs w:val="21"/>
                <w:highlight w:val="none"/>
                <w:lang w:val="en-US" w:eastAsia="zh-CN" w:bidi="ar"/>
              </w:rPr>
              <w:t>无恶臭，</w:t>
            </w:r>
            <w:r>
              <w:rPr>
                <w:rFonts w:hint="eastAsia" w:ascii="宋体" w:hAnsi="宋体" w:eastAsia="宋体" w:cs="宋体"/>
                <w:color w:val="auto"/>
                <w:kern w:val="2"/>
                <w:sz w:val="21"/>
                <w:szCs w:val="21"/>
                <w:highlight w:val="none"/>
                <w:vertAlign w:val="baseline"/>
                <w:lang w:val="en-US" w:eastAsia="zh-CN" w:bidi="ar-SA"/>
              </w:rPr>
              <w:t>应满足中华人民共和国农业行业标准《有机肥料》（NY525-2021）有关要求。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2418E8CD">
            <w:pPr>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143.95</w:t>
            </w:r>
            <w:r>
              <w:rPr>
                <w:rFonts w:hint="eastAsia" w:ascii="宋体" w:hAnsi="宋体" w:eastAsia="宋体" w:cs="宋体"/>
                <w:color w:val="auto"/>
                <w:sz w:val="21"/>
                <w:szCs w:val="21"/>
                <w:highlight w:val="none"/>
                <w:lang w:eastAsia="zh-CN"/>
              </w:rPr>
              <w:t>万</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kg</w:t>
            </w:r>
          </w:p>
        </w:tc>
      </w:tr>
    </w:tbl>
    <w:p w14:paraId="3791AFCF">
      <w:pPr>
        <w:pStyle w:val="6"/>
        <w:rPr>
          <w:rFonts w:hint="eastAsia" w:ascii="宋体" w:hAnsi="宋体" w:eastAsia="宋体" w:cs="宋体"/>
          <w:color w:val="auto"/>
          <w:highlight w:val="none"/>
        </w:rPr>
      </w:pPr>
    </w:p>
    <w:p w14:paraId="26FB58C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楷体_GB2312">
    <w:altName w:val="楷体"/>
    <w:panose1 w:val="02010609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B418B4"/>
    <w:rsid w:val="71B41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楷体_GB2312" w:cs="Times New Roman"/>
      <w:sz w:val="28"/>
      <w:szCs w:val="24"/>
    </w:rPr>
  </w:style>
  <w:style w:type="paragraph" w:styleId="3">
    <w:name w:val="Body Text 2"/>
    <w:basedOn w:val="1"/>
    <w:unhideWhenUsed/>
    <w:uiPriority w:val="99"/>
    <w:pPr>
      <w:spacing w:after="120" w:line="480" w:lineRule="auto"/>
    </w:pPr>
  </w:style>
  <w:style w:type="paragraph" w:customStyle="1" w:styleId="6">
    <w:name w:val="无间隔1"/>
    <w:basedOn w:val="1"/>
    <w:next w:val="7"/>
    <w:qFormat/>
    <w:uiPriority w:val="0"/>
    <w:pPr>
      <w:spacing w:line="400" w:lineRule="exact"/>
    </w:pPr>
    <w:rPr>
      <w:rFonts w:eastAsia="宋体"/>
      <w:sz w:val="24"/>
    </w:rPr>
  </w:style>
  <w:style w:type="paragraph" w:customStyle="1" w:styleId="7">
    <w:name w:val="TOC Heading1"/>
    <w:next w:val="1"/>
    <w:qFormat/>
    <w:uiPriority w:val="0"/>
    <w:pPr>
      <w:wordWrap w:val="0"/>
    </w:pPr>
    <w:rPr>
      <w:rFonts w:ascii="Calibri" w:hAnsi="Calibri" w:eastAsia="宋体" w:cs="Times New Roman"/>
      <w:sz w:val="3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2025-08-14T07:18:00Z</dcterms:created>
  <dc:creator>Administrator</dc:creator>
  <cp:lastModifiedBy>Administrator</cp:lastModifiedBy>
  <dcterms:modified xsi:type="dcterms:W3CDTF">2025-08-14T07:18:29Z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735740884213421F8E8D1F9045856865_11</vt:lpwstr>
  </property>
  <property fmtid="{D5CDD505-2E9C-101B-9397-08002B2CF9AE}" pid="4" name="KSOTemplateDocerSaveRecord">
    <vt:lpwstr>eyJoZGlkIjoiZjhmY2M2YTgyYTNjYjRiYTYxNGYzNGU2NWY2YWU4NzgiLCJ1c2VySWQiOiI0ODg3MzE1MDAifQ==</vt:lpwstr>
  </property>
</Properties>
</file>